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3260"/>
        <w:gridCol w:w="2693"/>
        <w:gridCol w:w="3119"/>
        <w:gridCol w:w="3119"/>
      </w:tblGrid>
      <w:tr w:rsidR="000B711D" w:rsidRPr="00957D43" w:rsidTr="00957D43">
        <w:trPr>
          <w:trHeight w:val="2557"/>
        </w:trPr>
        <w:tc>
          <w:tcPr>
            <w:tcW w:w="2235" w:type="dxa"/>
            <w:vMerge w:val="restart"/>
          </w:tcPr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40FE1">
              <w:rPr>
                <w:rFonts w:ascii="Arial" w:hAnsi="Arial" w:cs="Arial"/>
                <w:b/>
                <w:sz w:val="32"/>
                <w:szCs w:val="32"/>
              </w:rPr>
              <w:t xml:space="preserve">20th </w:t>
            </w:r>
            <w:proofErr w:type="spellStart"/>
            <w:r w:rsidRPr="00040FE1">
              <w:rPr>
                <w:rFonts w:ascii="Arial" w:hAnsi="Arial" w:cs="Arial"/>
                <w:b/>
                <w:sz w:val="32"/>
                <w:szCs w:val="32"/>
              </w:rPr>
              <w:t>Century</w:t>
            </w:r>
            <w:proofErr w:type="spellEnd"/>
          </w:p>
        </w:tc>
        <w:tc>
          <w:tcPr>
            <w:tcW w:w="3260" w:type="dxa"/>
          </w:tcPr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Default="00957D43" w:rsidP="000B711D">
            <w:pPr>
              <w:spacing w:after="0" w:line="240" w:lineRule="auto"/>
              <w:jc w:val="center"/>
            </w:pPr>
            <w:r>
              <w:rPr>
                <w:noProof/>
                <w:lang w:val="es-PE" w:eastAsia="es-PE"/>
              </w:rPr>
              <w:drawing>
                <wp:inline distT="0" distB="0" distL="0" distR="0">
                  <wp:extent cx="890270" cy="1082675"/>
                  <wp:effectExtent l="19050" t="0" r="5080" b="0"/>
                  <wp:docPr id="6" name="Imagen 6" descr="http://www.euroresidentes.com/libros/autores/images/joseph-conr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euroresidentes.com/libros/autores/images/joseph-conr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108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D43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t xml:space="preserve">Joseph </w:t>
            </w:r>
            <w:proofErr w:type="spellStart"/>
            <w:r>
              <w:t>Conrad</w:t>
            </w:r>
            <w:proofErr w:type="spellEnd"/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0B711D" w:rsidRPr="00957D43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proofErr w:type="gramStart"/>
            <w:r>
              <w:rPr>
                <w:lang/>
              </w:rPr>
              <w:t>was</w:t>
            </w:r>
            <w:proofErr w:type="gramEnd"/>
            <w:r>
              <w:rPr>
                <w:lang/>
              </w:rPr>
              <w:t xml:space="preserve"> a </w:t>
            </w:r>
            <w:r w:rsidRPr="00957D43">
              <w:rPr>
                <w:lang/>
              </w:rPr>
              <w:t>Polish</w:t>
            </w:r>
            <w:r>
              <w:rPr>
                <w:lang/>
              </w:rPr>
              <w:t xml:space="preserve">-born </w:t>
            </w:r>
            <w:r w:rsidRPr="00957D43">
              <w:rPr>
                <w:lang/>
              </w:rPr>
              <w:t>British</w:t>
            </w:r>
            <w:r>
              <w:rPr>
                <w:lang/>
              </w:rPr>
              <w:t xml:space="preserve"> novelist, who became a British subject in 1886. He is regarded as one of the greatest novelists in </w:t>
            </w:r>
            <w:proofErr w:type="gramStart"/>
            <w:r>
              <w:rPr>
                <w:lang/>
              </w:rPr>
              <w:t>English</w:t>
            </w:r>
            <w:r>
              <w:rPr>
                <w:color w:val="0000FF"/>
                <w:u w:val="single"/>
                <w:vertAlign w:val="superscript"/>
                <w:lang/>
              </w:rPr>
              <w:t>[</w:t>
            </w:r>
            <w:proofErr w:type="gramEnd"/>
            <w:r>
              <w:rPr>
                <w:color w:val="0000FF"/>
                <w:u w:val="single"/>
                <w:vertAlign w:val="superscript"/>
                <w:lang/>
              </w:rPr>
              <w:t>2]</w:t>
            </w:r>
            <w:r>
              <w:rPr>
                <w:lang/>
              </w:rPr>
              <w:t xml:space="preserve"> though he did not speak the language fluently until he was in his twenties (and then always with a marked Polish accent). He wrote stories and </w:t>
            </w:r>
            <w:r w:rsidRPr="00957D43">
              <w:rPr>
                <w:lang/>
              </w:rPr>
              <w:t>novels</w:t>
            </w:r>
            <w:r>
              <w:rPr>
                <w:lang/>
              </w:rPr>
              <w:t xml:space="preserve">, predominantly with a nautical or seaboard </w:t>
            </w:r>
            <w:proofErr w:type="gramStart"/>
            <w:r>
              <w:rPr>
                <w:lang/>
              </w:rPr>
              <w:t>setting, that</w:t>
            </w:r>
            <w:proofErr w:type="gramEnd"/>
            <w:r>
              <w:rPr>
                <w:lang/>
              </w:rPr>
              <w:t xml:space="preserve"> depict trials of the human spirit by the demands of duty and </w:t>
            </w:r>
            <w:proofErr w:type="spellStart"/>
            <w:r>
              <w:rPr>
                <w:lang/>
              </w:rPr>
              <w:t>honour.master</w:t>
            </w:r>
            <w:proofErr w:type="spellEnd"/>
            <w:r>
              <w:rPr>
                <w:lang/>
              </w:rPr>
              <w:t xml:space="preserve"> in prose.</w:t>
            </w:r>
          </w:p>
        </w:tc>
        <w:tc>
          <w:tcPr>
            <w:tcW w:w="3119" w:type="dxa"/>
          </w:tcPr>
          <w:p w:rsidR="000B711D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  <w:proofErr w:type="spellStart"/>
            <w:r w:rsidRPr="00957D43">
              <w:rPr>
                <w:i/>
                <w:iCs/>
                <w:lang/>
              </w:rPr>
              <w:t>Almayer's</w:t>
            </w:r>
            <w:proofErr w:type="spellEnd"/>
            <w:r w:rsidRPr="00957D43">
              <w:rPr>
                <w:i/>
                <w:iCs/>
                <w:lang/>
              </w:rPr>
              <w:t xml:space="preserve"> Folly</w:t>
            </w: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  <w:proofErr w:type="spellStart"/>
            <w:r>
              <w:rPr>
                <w:i/>
                <w:iCs/>
                <w:lang/>
              </w:rPr>
              <w:t>Nostrano</w:t>
            </w:r>
            <w:proofErr w:type="spellEnd"/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i/>
                <w:iCs/>
                <w:lang/>
              </w:rPr>
            </w:pPr>
          </w:p>
          <w:p w:rsidR="00957D43" w:rsidRPr="00040FE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i/>
                <w:iCs/>
                <w:lang/>
              </w:rPr>
              <w:t>thyphoon</w:t>
            </w:r>
            <w:proofErr w:type="spellEnd"/>
          </w:p>
        </w:tc>
        <w:tc>
          <w:tcPr>
            <w:tcW w:w="3119" w:type="dxa"/>
          </w:tcPr>
          <w:p w:rsidR="000B711D" w:rsidRPr="00957D43" w:rsidRDefault="00957D43" w:rsidP="00957D4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 w:rsidRPr="00957D43">
              <w:rPr>
                <w:rFonts w:ascii="Verdana" w:hAnsi="Verdana"/>
                <w:color w:val="333333"/>
                <w:sz w:val="20"/>
                <w:szCs w:val="23"/>
                <w:lang w:val="en-US"/>
              </w:rPr>
              <w:t xml:space="preserve">Many chronicles have been written about life at sea, but few, if any, can compare with Joseph Conrad's masterpiece. It is the story of one unremarkable steamship captain, pitted against a storm of incredible fury. Captain </w:t>
            </w:r>
            <w:proofErr w:type="spellStart"/>
            <w:r w:rsidRPr="00957D43">
              <w:rPr>
                <w:rFonts w:ascii="Verdana" w:hAnsi="Verdana"/>
                <w:color w:val="333333"/>
                <w:sz w:val="20"/>
                <w:szCs w:val="23"/>
                <w:lang w:val="en-US"/>
              </w:rPr>
              <w:t>Macwhirr</w:t>
            </w:r>
            <w:proofErr w:type="spellEnd"/>
            <w:r w:rsidRPr="00957D43">
              <w:rPr>
                <w:rFonts w:ascii="Verdana" w:hAnsi="Verdana"/>
                <w:color w:val="333333"/>
                <w:sz w:val="20"/>
                <w:szCs w:val="23"/>
                <w:lang w:val="en-US"/>
              </w:rPr>
              <w:t xml:space="preserve"> has a reputation as a solid, steadfast man, who "having just enough imagination to carry him through each successive day, and no more" cannot fully believe any storm would be a match for his powerful ship. </w:t>
            </w:r>
          </w:p>
        </w:tc>
      </w:tr>
      <w:tr w:rsidR="000B711D" w:rsidRPr="00B220F1" w:rsidTr="00957D43">
        <w:trPr>
          <w:trHeight w:val="2445"/>
        </w:trPr>
        <w:tc>
          <w:tcPr>
            <w:tcW w:w="2235" w:type="dxa"/>
            <w:vMerge/>
          </w:tcPr>
          <w:p w:rsidR="000B711D" w:rsidRPr="00957D43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</w:p>
        </w:tc>
        <w:tc>
          <w:tcPr>
            <w:tcW w:w="3260" w:type="dxa"/>
          </w:tcPr>
          <w:p w:rsidR="000B711D" w:rsidRPr="00957D43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</w:p>
          <w:p w:rsidR="000B711D" w:rsidRDefault="00957D43" w:rsidP="000B711D">
            <w:pPr>
              <w:spacing w:after="0" w:line="240" w:lineRule="auto"/>
              <w:jc w:val="center"/>
            </w:pPr>
            <w:r>
              <w:rPr>
                <w:noProof/>
                <w:lang w:val="es-PE" w:eastAsia="es-PE"/>
              </w:rPr>
              <w:drawing>
                <wp:inline distT="0" distB="0" distL="0" distR="0">
                  <wp:extent cx="842010" cy="1094740"/>
                  <wp:effectExtent l="19050" t="0" r="0" b="0"/>
                  <wp:docPr id="24" name="Imagen 24" descr="http://www.orwell.ru/people/london/img/jl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orwell.ru/people/london/img/jl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1094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D43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t>Jack London</w:t>
            </w: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0B711D" w:rsidRPr="00957D43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proofErr w:type="gramStart"/>
            <w:r>
              <w:rPr>
                <w:lang/>
              </w:rPr>
              <w:t>was</w:t>
            </w:r>
            <w:proofErr w:type="gramEnd"/>
            <w:r>
              <w:rPr>
                <w:lang/>
              </w:rPr>
              <w:t xml:space="preserve"> an American author who wrote </w:t>
            </w:r>
            <w:r w:rsidRPr="00957D43">
              <w:rPr>
                <w:i/>
                <w:iCs/>
                <w:lang/>
              </w:rPr>
              <w:t>The Call of the Wild</w:t>
            </w:r>
            <w:r>
              <w:rPr>
                <w:lang/>
              </w:rPr>
              <w:t xml:space="preserve">, </w:t>
            </w:r>
            <w:r w:rsidRPr="00957D43">
              <w:rPr>
                <w:i/>
                <w:iCs/>
                <w:lang/>
              </w:rPr>
              <w:t>White Fang</w:t>
            </w:r>
            <w:r>
              <w:rPr>
                <w:lang/>
              </w:rPr>
              <w:t xml:space="preserve">, and </w:t>
            </w:r>
            <w:r w:rsidRPr="00957D43">
              <w:rPr>
                <w:i/>
                <w:iCs/>
                <w:lang/>
              </w:rPr>
              <w:t>The Sea Wolf</w:t>
            </w:r>
            <w:r>
              <w:rPr>
                <w:lang/>
              </w:rPr>
              <w:t xml:space="preserve"> along with many other popular books. A pioneer in the then-burgeoning world of commercial magazine fiction, he was one of the first Americans to make a lucrative career exclusively from writing</w:t>
            </w:r>
          </w:p>
        </w:tc>
        <w:tc>
          <w:tcPr>
            <w:tcW w:w="3119" w:type="dxa"/>
          </w:tcPr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  <w:r w:rsidRPr="00957D43">
              <w:rPr>
                <w:i/>
                <w:iCs/>
                <w:lang/>
              </w:rPr>
              <w:t>The Call of the Wild</w:t>
            </w:r>
            <w:r>
              <w:rPr>
                <w:lang/>
              </w:rPr>
              <w:t xml:space="preserve"> </w:t>
            </w: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  <w:r w:rsidRPr="00957D43">
              <w:rPr>
                <w:i/>
                <w:iCs/>
                <w:lang/>
              </w:rPr>
              <w:t>White Fang</w:t>
            </w: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rPr>
                <w:lang/>
              </w:rPr>
            </w:pPr>
          </w:p>
          <w:p w:rsidR="000B711D" w:rsidRPr="00040FE1" w:rsidRDefault="00957D43" w:rsidP="00957D43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lang/>
              </w:rPr>
              <w:t xml:space="preserve">                 </w:t>
            </w:r>
            <w:r>
              <w:rPr>
                <w:i/>
                <w:iCs/>
                <w:lang/>
              </w:rPr>
              <w:t xml:space="preserve">      </w:t>
            </w:r>
            <w:r w:rsidRPr="00957D43">
              <w:rPr>
                <w:i/>
                <w:iCs/>
                <w:lang/>
              </w:rPr>
              <w:t xml:space="preserve"> Wolf</w:t>
            </w:r>
          </w:p>
        </w:tc>
        <w:tc>
          <w:tcPr>
            <w:tcW w:w="3119" w:type="dxa"/>
          </w:tcPr>
          <w:p w:rsidR="000B711D" w:rsidRPr="00B220F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957D43">
              <w:rPr>
                <w:bCs/>
                <w:iCs/>
                <w:sz w:val="20"/>
                <w:lang/>
              </w:rPr>
              <w:t>White Fang</w:t>
            </w:r>
            <w:r w:rsidRPr="00957D43">
              <w:rPr>
                <w:sz w:val="20"/>
                <w:lang/>
              </w:rPr>
              <w:t xml:space="preserve"> is the title of a </w:t>
            </w:r>
            <w:hyperlink r:id="rId7" w:tooltip="Novel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novel</w:t>
              </w:r>
            </w:hyperlink>
            <w:r w:rsidRPr="00957D43">
              <w:rPr>
                <w:sz w:val="20"/>
                <w:lang/>
              </w:rPr>
              <w:t xml:space="preserve"> by </w:t>
            </w:r>
            <w:hyperlink r:id="rId8" w:tooltip="United States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American</w:t>
              </w:r>
            </w:hyperlink>
            <w:r w:rsidRPr="00957D43">
              <w:rPr>
                <w:sz w:val="20"/>
                <w:lang/>
              </w:rPr>
              <w:t xml:space="preserve"> </w:t>
            </w:r>
            <w:hyperlink r:id="rId9" w:tooltip="Author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author</w:t>
              </w:r>
            </w:hyperlink>
            <w:r w:rsidRPr="00957D43">
              <w:rPr>
                <w:sz w:val="20"/>
                <w:lang/>
              </w:rPr>
              <w:t xml:space="preserve"> </w:t>
            </w:r>
            <w:hyperlink r:id="rId10" w:tooltip="Jack London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Jack London</w:t>
              </w:r>
            </w:hyperlink>
            <w:r w:rsidRPr="00957D43">
              <w:rPr>
                <w:sz w:val="20"/>
                <w:lang/>
              </w:rPr>
              <w:t xml:space="preserve">. The novel was first serialized in </w:t>
            </w:r>
            <w:r w:rsidRPr="00957D43">
              <w:rPr>
                <w:iCs/>
                <w:sz w:val="20"/>
                <w:lang/>
              </w:rPr>
              <w:t>The Outing Magazine</w:t>
            </w:r>
            <w:r w:rsidRPr="00957D43">
              <w:rPr>
                <w:sz w:val="20"/>
                <w:lang/>
              </w:rPr>
              <w:t xml:space="preserve"> in May to October 1906. It is the story of a wild </w:t>
            </w:r>
            <w:hyperlink r:id="rId11" w:tooltip="Wolfdog" w:history="1">
              <w:proofErr w:type="spellStart"/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wolfdog</w:t>
              </w:r>
            </w:hyperlink>
            <w:r w:rsidRPr="00957D43">
              <w:rPr>
                <w:sz w:val="20"/>
                <w:lang/>
              </w:rPr>
              <w:t>'s</w:t>
            </w:r>
            <w:proofErr w:type="spellEnd"/>
            <w:r w:rsidRPr="00957D43">
              <w:rPr>
                <w:sz w:val="20"/>
                <w:lang/>
              </w:rPr>
              <w:t xml:space="preserve"> journey toward becoming civilized in </w:t>
            </w:r>
            <w:hyperlink r:id="rId12" w:tooltip="Yukon Territory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Yukon Territory</w:t>
              </w:r>
            </w:hyperlink>
            <w:r w:rsidRPr="00957D43">
              <w:rPr>
                <w:sz w:val="20"/>
                <w:lang/>
              </w:rPr>
              <w:t xml:space="preserve">, </w:t>
            </w:r>
            <w:hyperlink r:id="rId13" w:tooltip="Canada" w:history="1">
              <w:r w:rsidRPr="00957D43">
                <w:rPr>
                  <w:rStyle w:val="Hipervnculo"/>
                  <w:color w:val="auto"/>
                  <w:sz w:val="20"/>
                  <w:u w:val="none"/>
                  <w:lang/>
                </w:rPr>
                <w:t>Canada</w:t>
              </w:r>
            </w:hyperlink>
            <w:r w:rsidRPr="00957D43">
              <w:rPr>
                <w:sz w:val="20"/>
                <w:lang/>
              </w:rPr>
              <w:t xml:space="preserve">, during the Klondike Gold Rush at the end of the 19th century. </w:t>
            </w:r>
            <w:r w:rsidRPr="00957D43">
              <w:rPr>
                <w:iCs/>
                <w:sz w:val="20"/>
                <w:lang/>
              </w:rPr>
              <w:t>White Fang</w:t>
            </w:r>
            <w:r w:rsidRPr="00957D43">
              <w:rPr>
                <w:sz w:val="20"/>
                <w:lang/>
              </w:rPr>
              <w:t xml:space="preserve"> is a companion novel (and a thematic mirror) to London's best-known work, </w:t>
            </w:r>
            <w:hyperlink r:id="rId14" w:tooltip="The Call of the Wild" w:history="1">
              <w:r w:rsidRPr="00957D43">
                <w:rPr>
                  <w:rStyle w:val="Hipervnculo"/>
                  <w:iCs/>
                  <w:color w:val="auto"/>
                  <w:sz w:val="20"/>
                  <w:u w:val="none"/>
                  <w:lang/>
                </w:rPr>
                <w:t>The Call of the Wild</w:t>
              </w:r>
            </w:hyperlink>
            <w:r w:rsidRPr="00957D43">
              <w:rPr>
                <w:sz w:val="20"/>
                <w:lang/>
              </w:rPr>
              <w:t>, which concerns a kidnapped civilized dog turning into a wild animal.</w:t>
            </w:r>
          </w:p>
        </w:tc>
      </w:tr>
      <w:tr w:rsidR="000B711D" w:rsidRPr="00B220F1" w:rsidTr="0098762C">
        <w:tc>
          <w:tcPr>
            <w:tcW w:w="2235" w:type="dxa"/>
            <w:vMerge/>
          </w:tcPr>
          <w:p w:rsidR="000B711D" w:rsidRPr="00B220F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</w:p>
        </w:tc>
        <w:tc>
          <w:tcPr>
            <w:tcW w:w="3260" w:type="dxa"/>
          </w:tcPr>
          <w:p w:rsidR="000B711D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noProof/>
                <w:lang w:val="es-PE" w:eastAsia="es-PE"/>
              </w:rPr>
              <w:drawing>
                <wp:inline distT="0" distB="0" distL="0" distR="0">
                  <wp:extent cx="866140" cy="1239520"/>
                  <wp:effectExtent l="19050" t="0" r="0" b="0"/>
                  <wp:docPr id="74" name="Imagen 74" descr="http://www.libraries.uc.edu/libraries/arb/ger_americana/exhibits/images/t_man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libraries.uc.edu/libraries/arb/ger_americana/exhibits/images/t_man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1239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11D" w:rsidRDefault="000B711D" w:rsidP="000B711D">
            <w:pPr>
              <w:spacing w:after="0" w:line="240" w:lineRule="auto"/>
              <w:jc w:val="center"/>
            </w:pPr>
          </w:p>
          <w:p w:rsidR="00957D43" w:rsidRPr="00040FE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t>Thomas Mann</w:t>
            </w:r>
          </w:p>
          <w:p w:rsidR="000B711D" w:rsidRDefault="000B711D" w:rsidP="000B711D">
            <w:pPr>
              <w:spacing w:after="0" w:line="240" w:lineRule="auto"/>
              <w:jc w:val="center"/>
            </w:pPr>
          </w:p>
          <w:p w:rsidR="00957D43" w:rsidRPr="00040FE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0B711D" w:rsidRPr="00040FE1" w:rsidRDefault="000B711D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693" w:type="dxa"/>
          </w:tcPr>
          <w:p w:rsidR="000B711D" w:rsidRPr="00B220F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>
              <w:rPr>
                <w:lang/>
              </w:rPr>
              <w:lastRenderedPageBreak/>
              <w:t xml:space="preserve">was a </w:t>
            </w:r>
            <w:r w:rsidRPr="00957D43">
              <w:rPr>
                <w:lang/>
              </w:rPr>
              <w:t>German novelist</w:t>
            </w:r>
            <w:r>
              <w:rPr>
                <w:lang/>
              </w:rPr>
              <w:t xml:space="preserve">, </w:t>
            </w:r>
            <w:r w:rsidRPr="00957D43">
              <w:rPr>
                <w:lang/>
              </w:rPr>
              <w:t>short story</w:t>
            </w:r>
            <w:r>
              <w:rPr>
                <w:lang/>
              </w:rPr>
              <w:t xml:space="preserve"> writer, </w:t>
            </w:r>
            <w:r w:rsidRPr="00957D43">
              <w:rPr>
                <w:lang/>
              </w:rPr>
              <w:t>social critic</w:t>
            </w:r>
            <w:r>
              <w:rPr>
                <w:lang/>
              </w:rPr>
              <w:t xml:space="preserve">, </w:t>
            </w:r>
            <w:r w:rsidRPr="00957D43">
              <w:rPr>
                <w:lang/>
              </w:rPr>
              <w:t>philanthropist</w:t>
            </w:r>
            <w:r>
              <w:rPr>
                <w:lang/>
              </w:rPr>
              <w:t xml:space="preserve">, </w:t>
            </w:r>
            <w:r w:rsidRPr="00957D43">
              <w:rPr>
                <w:lang/>
              </w:rPr>
              <w:t>essayist</w:t>
            </w:r>
            <w:r>
              <w:rPr>
                <w:lang/>
              </w:rPr>
              <w:t xml:space="preserve">, and 1929 </w:t>
            </w:r>
            <w:r w:rsidRPr="00957D43">
              <w:rPr>
                <w:lang/>
              </w:rPr>
              <w:t>Nobel Prize laureate</w:t>
            </w:r>
            <w:r>
              <w:rPr>
                <w:lang/>
              </w:rPr>
              <w:t xml:space="preserve">, known for his series of highly symbolic and </w:t>
            </w:r>
            <w:r w:rsidRPr="00957D43">
              <w:rPr>
                <w:lang/>
              </w:rPr>
              <w:t>ironic</w:t>
            </w:r>
            <w:r>
              <w:rPr>
                <w:lang/>
              </w:rPr>
              <w:t xml:space="preserve"> epic </w:t>
            </w:r>
            <w:r w:rsidRPr="00957D43">
              <w:rPr>
                <w:lang/>
              </w:rPr>
              <w:t>novels</w:t>
            </w:r>
            <w:r>
              <w:rPr>
                <w:lang/>
              </w:rPr>
              <w:t xml:space="preserve"> and </w:t>
            </w:r>
            <w:r w:rsidRPr="00957D43">
              <w:rPr>
                <w:lang/>
              </w:rPr>
              <w:t>novellas</w:t>
            </w:r>
            <w:r>
              <w:rPr>
                <w:lang/>
              </w:rPr>
              <w:t xml:space="preserve">, noted for their insight into the </w:t>
            </w:r>
            <w:r w:rsidRPr="00957D43">
              <w:rPr>
                <w:lang/>
              </w:rPr>
              <w:t>psychology</w:t>
            </w:r>
            <w:r>
              <w:rPr>
                <w:lang/>
              </w:rPr>
              <w:t xml:space="preserve"> of the </w:t>
            </w:r>
            <w:r w:rsidRPr="00957D43">
              <w:rPr>
                <w:lang/>
              </w:rPr>
              <w:t>artist</w:t>
            </w:r>
            <w:r>
              <w:rPr>
                <w:lang/>
              </w:rPr>
              <w:t xml:space="preserve"> and the </w:t>
            </w:r>
            <w:r w:rsidRPr="00957D43">
              <w:rPr>
                <w:lang/>
              </w:rPr>
              <w:t>intellectual</w:t>
            </w:r>
          </w:p>
        </w:tc>
        <w:tc>
          <w:tcPr>
            <w:tcW w:w="3119" w:type="dxa"/>
          </w:tcPr>
          <w:p w:rsidR="000B711D" w:rsidRDefault="00957D43" w:rsidP="000B711D">
            <w:pPr>
              <w:spacing w:after="0" w:line="240" w:lineRule="auto"/>
              <w:jc w:val="center"/>
              <w:rPr>
                <w:lang/>
              </w:rPr>
            </w:pPr>
            <w:r w:rsidRPr="00957D43">
              <w:rPr>
                <w:lang/>
              </w:rPr>
              <w:t>The Clown</w:t>
            </w: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  <w:r>
              <w:rPr>
                <w:lang/>
              </w:rPr>
              <w:t>Tristan</w:t>
            </w: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</w:p>
          <w:p w:rsidR="00957D43" w:rsidRDefault="00957D43" w:rsidP="000B711D">
            <w:pPr>
              <w:spacing w:after="0" w:line="240" w:lineRule="auto"/>
              <w:jc w:val="center"/>
              <w:rPr>
                <w:lang/>
              </w:rPr>
            </w:pPr>
            <w:proofErr w:type="spellStart"/>
            <w:r>
              <w:rPr>
                <w:lang/>
              </w:rPr>
              <w:t>Tonio</w:t>
            </w:r>
            <w:proofErr w:type="spellEnd"/>
            <w:r>
              <w:rPr>
                <w:lang/>
              </w:rPr>
              <w:t xml:space="preserve"> </w:t>
            </w:r>
            <w:proofErr w:type="spellStart"/>
            <w:r>
              <w:rPr>
                <w:lang/>
              </w:rPr>
              <w:t>krôger</w:t>
            </w:r>
            <w:proofErr w:type="spellEnd"/>
          </w:p>
          <w:p w:rsidR="00957D43" w:rsidRDefault="00957D43" w:rsidP="00957D43">
            <w:pPr>
              <w:spacing w:after="0" w:line="240" w:lineRule="auto"/>
              <w:rPr>
                <w:lang/>
              </w:rPr>
            </w:pPr>
          </w:p>
          <w:p w:rsidR="00957D43" w:rsidRDefault="00957D43" w:rsidP="00957D43">
            <w:pPr>
              <w:spacing w:after="0" w:line="240" w:lineRule="auto"/>
              <w:rPr>
                <w:lang/>
              </w:rPr>
            </w:pPr>
          </w:p>
          <w:p w:rsidR="00957D43" w:rsidRPr="00040FE1" w:rsidRDefault="00957D43" w:rsidP="00957D43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:rsidR="000B711D" w:rsidRPr="00B220F1" w:rsidRDefault="00957D43" w:rsidP="000B711D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957D43">
              <w:rPr>
                <w:lang/>
              </w:rPr>
              <w:t xml:space="preserve">Also known as </w:t>
            </w:r>
            <w:proofErr w:type="spellStart"/>
            <w:r w:rsidRPr="00957D43">
              <w:rPr>
                <w:bCs/>
                <w:lang/>
              </w:rPr>
              <w:t>Tristran</w:t>
            </w:r>
            <w:proofErr w:type="spellEnd"/>
            <w:r w:rsidRPr="00957D43">
              <w:rPr>
                <w:lang/>
              </w:rPr>
              <w:t xml:space="preserve">, </w:t>
            </w:r>
            <w:proofErr w:type="spellStart"/>
            <w:r w:rsidRPr="00957D43">
              <w:rPr>
                <w:bCs/>
                <w:lang/>
              </w:rPr>
              <w:t>Tristram</w:t>
            </w:r>
            <w:proofErr w:type="spellEnd"/>
            <w:r w:rsidRPr="00957D43">
              <w:rPr>
                <w:lang/>
              </w:rPr>
              <w:t xml:space="preserve">, etc.) is one of the main characters of the </w:t>
            </w:r>
            <w:hyperlink r:id="rId16" w:tooltip="Tristan and Iseult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 xml:space="preserve">Tristan and </w:t>
              </w:r>
              <w:proofErr w:type="spellStart"/>
              <w:r w:rsidRPr="00957D43">
                <w:rPr>
                  <w:rStyle w:val="Hipervnculo"/>
                  <w:color w:val="auto"/>
                  <w:u w:val="none"/>
                  <w:lang/>
                </w:rPr>
                <w:t>Iseult</w:t>
              </w:r>
              <w:proofErr w:type="spellEnd"/>
            </w:hyperlink>
            <w:r w:rsidRPr="00957D43">
              <w:rPr>
                <w:lang/>
              </w:rPr>
              <w:t xml:space="preserve"> story, a </w:t>
            </w:r>
            <w:hyperlink r:id="rId17" w:tooltip="Cornwall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Cornish</w:t>
              </w:r>
            </w:hyperlink>
            <w:r w:rsidRPr="00957D43">
              <w:rPr>
                <w:lang/>
              </w:rPr>
              <w:t xml:space="preserve"> hero and one of the </w:t>
            </w:r>
            <w:hyperlink r:id="rId18" w:tooltip="Knights of the Round Table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Knights of the Round Table</w:t>
              </w:r>
            </w:hyperlink>
            <w:r w:rsidRPr="00957D43">
              <w:rPr>
                <w:lang/>
              </w:rPr>
              <w:t xml:space="preserve"> featuring in the </w:t>
            </w:r>
            <w:hyperlink r:id="rId19" w:tooltip="Matter of Britain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Matter of Britain</w:t>
              </w:r>
            </w:hyperlink>
            <w:r w:rsidRPr="00957D43">
              <w:rPr>
                <w:lang/>
              </w:rPr>
              <w:t xml:space="preserve">. He is the son of </w:t>
            </w:r>
            <w:hyperlink r:id="rId20" w:tooltip="Blancheflor" w:history="1">
              <w:proofErr w:type="spellStart"/>
              <w:r w:rsidRPr="00957D43">
                <w:rPr>
                  <w:rStyle w:val="Hipervnculo"/>
                  <w:color w:val="auto"/>
                  <w:u w:val="none"/>
                  <w:lang/>
                </w:rPr>
                <w:t>Blancheflor</w:t>
              </w:r>
              <w:proofErr w:type="spellEnd"/>
            </w:hyperlink>
            <w:r w:rsidRPr="00957D43">
              <w:rPr>
                <w:lang/>
              </w:rPr>
              <w:t xml:space="preserve"> and </w:t>
            </w:r>
            <w:hyperlink r:id="rId21" w:tooltip="Rivalen" w:history="1">
              <w:proofErr w:type="spellStart"/>
              <w:r w:rsidRPr="00957D43">
                <w:rPr>
                  <w:rStyle w:val="Hipervnculo"/>
                  <w:color w:val="auto"/>
                  <w:u w:val="none"/>
                  <w:lang/>
                </w:rPr>
                <w:t>Rivalen</w:t>
              </w:r>
              <w:proofErr w:type="spellEnd"/>
            </w:hyperlink>
            <w:r w:rsidRPr="00957D43">
              <w:rPr>
                <w:lang/>
              </w:rPr>
              <w:t xml:space="preserve"> (in later versions </w:t>
            </w:r>
            <w:hyperlink r:id="rId22" w:tooltip="Isabelle of Cornwall (page does not exist)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Isabelle</w:t>
              </w:r>
            </w:hyperlink>
            <w:r w:rsidRPr="00957D43">
              <w:rPr>
                <w:lang/>
              </w:rPr>
              <w:t xml:space="preserve"> and </w:t>
            </w:r>
            <w:hyperlink r:id="rId23" w:tooltip="Meliodas" w:history="1">
              <w:proofErr w:type="spellStart"/>
              <w:r w:rsidRPr="00957D43">
                <w:rPr>
                  <w:rStyle w:val="Hipervnculo"/>
                  <w:color w:val="auto"/>
                  <w:u w:val="none"/>
                  <w:lang/>
                </w:rPr>
                <w:t>Meliodas</w:t>
              </w:r>
              <w:proofErr w:type="spellEnd"/>
            </w:hyperlink>
            <w:r w:rsidRPr="00957D43">
              <w:rPr>
                <w:lang/>
              </w:rPr>
              <w:t xml:space="preserve">), and the nephew of King </w:t>
            </w:r>
            <w:hyperlink r:id="rId24" w:tooltip="Mark of Cornwall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Mark of Cornwall</w:t>
              </w:r>
            </w:hyperlink>
            <w:r w:rsidRPr="00957D43">
              <w:rPr>
                <w:lang/>
              </w:rPr>
              <w:t xml:space="preserve">, sent to fetch </w:t>
            </w:r>
            <w:hyperlink r:id="rId25" w:tooltip="Iseult" w:history="1">
              <w:proofErr w:type="spellStart"/>
              <w:r w:rsidRPr="00957D43">
                <w:rPr>
                  <w:rStyle w:val="Hipervnculo"/>
                  <w:color w:val="auto"/>
                  <w:u w:val="none"/>
                  <w:lang/>
                </w:rPr>
                <w:t>Iseult</w:t>
              </w:r>
              <w:proofErr w:type="spellEnd"/>
            </w:hyperlink>
            <w:r w:rsidRPr="00957D43">
              <w:rPr>
                <w:lang/>
              </w:rPr>
              <w:t xml:space="preserve"> back from </w:t>
            </w:r>
            <w:hyperlink r:id="rId26" w:tooltip="Ireland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Ireland</w:t>
              </w:r>
            </w:hyperlink>
            <w:r w:rsidRPr="00957D43">
              <w:rPr>
                <w:lang/>
              </w:rPr>
              <w:t xml:space="preserve"> to wed the king. However, he and </w:t>
            </w:r>
            <w:proofErr w:type="spellStart"/>
            <w:r w:rsidRPr="00957D43">
              <w:rPr>
                <w:lang/>
              </w:rPr>
              <w:t>Iseult</w:t>
            </w:r>
            <w:proofErr w:type="spellEnd"/>
            <w:r w:rsidRPr="00957D43">
              <w:rPr>
                <w:lang/>
              </w:rPr>
              <w:t xml:space="preserve"> accidentally consume a </w:t>
            </w:r>
            <w:hyperlink r:id="rId27" w:tooltip="Love potion" w:history="1">
              <w:r w:rsidRPr="00957D43">
                <w:rPr>
                  <w:rStyle w:val="Hipervnculo"/>
                  <w:color w:val="auto"/>
                  <w:u w:val="none"/>
                  <w:lang/>
                </w:rPr>
                <w:t>love potion</w:t>
              </w:r>
            </w:hyperlink>
            <w:r w:rsidRPr="00957D43">
              <w:rPr>
                <w:lang/>
              </w:rPr>
              <w:t xml:space="preserve"> while en route and fall helplessly in love. The pair </w:t>
            </w:r>
            <w:proofErr w:type="gramStart"/>
            <w:r w:rsidRPr="00957D43">
              <w:rPr>
                <w:lang/>
              </w:rPr>
              <w:t>undergo</w:t>
            </w:r>
            <w:proofErr w:type="gramEnd"/>
            <w:r w:rsidRPr="00957D43">
              <w:rPr>
                <w:lang/>
              </w:rPr>
              <w:t xml:space="preserve"> numerous trials that test their secret affair.</w:t>
            </w:r>
          </w:p>
        </w:tc>
      </w:tr>
    </w:tbl>
    <w:p w:rsidR="00040FE1" w:rsidRPr="00B220F1" w:rsidRDefault="00040FE1">
      <w:pPr>
        <w:rPr>
          <w:lang w:val="en-US"/>
        </w:rPr>
      </w:pPr>
    </w:p>
    <w:sectPr w:rsidR="00040FE1" w:rsidRPr="00B220F1" w:rsidSect="00040FE1">
      <w:pgSz w:w="16838" w:h="11906" w:orient="landscape"/>
      <w:pgMar w:top="1077" w:right="964" w:bottom="102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96016"/>
    <w:multiLevelType w:val="hybridMultilevel"/>
    <w:tmpl w:val="CFEADE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81A0A"/>
    <w:multiLevelType w:val="hybridMultilevel"/>
    <w:tmpl w:val="E65011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0FE1"/>
    <w:rsid w:val="00040FE1"/>
    <w:rsid w:val="00054B2C"/>
    <w:rsid w:val="000B711D"/>
    <w:rsid w:val="006E6FA9"/>
    <w:rsid w:val="007376AA"/>
    <w:rsid w:val="007E5886"/>
    <w:rsid w:val="00957D43"/>
    <w:rsid w:val="0098762C"/>
    <w:rsid w:val="00B0468C"/>
    <w:rsid w:val="00B12F12"/>
    <w:rsid w:val="00B220F1"/>
    <w:rsid w:val="00E708BA"/>
    <w:rsid w:val="00FE1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68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0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FE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40F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E13D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376AA"/>
    <w:pPr>
      <w:ind w:left="720"/>
      <w:contextualSpacing/>
    </w:pPr>
    <w:rPr>
      <w:lang w:val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ted_States" TargetMode="External"/><Relationship Id="rId13" Type="http://schemas.openxmlformats.org/officeDocument/2006/relationships/hyperlink" Target="http://en.wikipedia.org/wiki/Canada" TargetMode="External"/><Relationship Id="rId18" Type="http://schemas.openxmlformats.org/officeDocument/2006/relationships/hyperlink" Target="http://en.wikipedia.org/wiki/Knights_of_the_Round_Table" TargetMode="External"/><Relationship Id="rId26" Type="http://schemas.openxmlformats.org/officeDocument/2006/relationships/hyperlink" Target="http://en.wikipedia.org/wiki/Irelan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Rivalen" TargetMode="External"/><Relationship Id="rId7" Type="http://schemas.openxmlformats.org/officeDocument/2006/relationships/hyperlink" Target="http://en.wikipedia.org/wiki/Novel" TargetMode="External"/><Relationship Id="rId12" Type="http://schemas.openxmlformats.org/officeDocument/2006/relationships/hyperlink" Target="http://en.wikipedia.org/wiki/Yukon_Territory" TargetMode="External"/><Relationship Id="rId17" Type="http://schemas.openxmlformats.org/officeDocument/2006/relationships/hyperlink" Target="http://en.wikipedia.org/wiki/Cornwall" TargetMode="External"/><Relationship Id="rId25" Type="http://schemas.openxmlformats.org/officeDocument/2006/relationships/hyperlink" Target="http://en.wikipedia.org/wiki/Iseult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Tristan_and_Iseult" TargetMode="External"/><Relationship Id="rId20" Type="http://schemas.openxmlformats.org/officeDocument/2006/relationships/hyperlink" Target="http://en.wikipedia.org/wiki/Blancheflor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en.wikipedia.org/wiki/Wolfdog" TargetMode="External"/><Relationship Id="rId24" Type="http://schemas.openxmlformats.org/officeDocument/2006/relationships/hyperlink" Target="http://en.wikipedia.org/wiki/Mark_of_Cornwall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jpeg"/><Relationship Id="rId23" Type="http://schemas.openxmlformats.org/officeDocument/2006/relationships/hyperlink" Target="http://en.wikipedia.org/wiki/Meliodas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n.wikipedia.org/wiki/Jack_London" TargetMode="External"/><Relationship Id="rId19" Type="http://schemas.openxmlformats.org/officeDocument/2006/relationships/hyperlink" Target="http://en.wikipedia.org/wiki/Matter_of_Brita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uthor" TargetMode="External"/><Relationship Id="rId14" Type="http://schemas.openxmlformats.org/officeDocument/2006/relationships/hyperlink" Target="http://en.wikipedia.org/wiki/The_Call_of_the_Wild" TargetMode="External"/><Relationship Id="rId22" Type="http://schemas.openxmlformats.org/officeDocument/2006/relationships/hyperlink" Target="http://en.wikipedia.org/w/index.php?title=Isabelle_of_Cornwall&amp;action=edit&amp;redlink=1" TargetMode="External"/><Relationship Id="rId27" Type="http://schemas.openxmlformats.org/officeDocument/2006/relationships/hyperlink" Target="http://en.wikipedia.org/wiki/Love_pot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sj</Company>
  <LinksUpToDate>false</LinksUpToDate>
  <CharactersWithSpaces>4230</CharactersWithSpaces>
  <SharedDoc>false</SharedDoc>
  <HLinks>
    <vt:vector size="30" baseType="variant">
      <vt:variant>
        <vt:i4>1441843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http://en.wikipedia.org/wiki/The_Canterbury_Tales</vt:lpwstr>
      </vt:variant>
      <vt:variant>
        <vt:lpwstr>cite_note-0</vt:lpwstr>
      </vt:variant>
      <vt:variant>
        <vt:i4>3407966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http://en.wikipedia.org/wiki/Canterbury_Cathedral</vt:lpwstr>
      </vt:variant>
      <vt:variant>
        <vt:lpwstr/>
      </vt:variant>
      <vt:variant>
        <vt:i4>3014775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http://en.wikipedia.org/wiki/Saint_Thomas_Becket</vt:lpwstr>
      </vt:variant>
      <vt:variant>
        <vt:lpwstr/>
      </vt:variant>
      <vt:variant>
        <vt:i4>8060971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http://en.wikipedia.org/wiki/Southwark</vt:lpwstr>
      </vt:variant>
      <vt:variant>
        <vt:lpwstr/>
      </vt:variant>
      <vt:variant>
        <vt:i4>6619156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http://en.wikipedia.org/wiki/Frame_tale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</dc:creator>
  <cp:keywords/>
  <dc:description/>
  <cp:lastModifiedBy>CSJ</cp:lastModifiedBy>
  <cp:revision>2</cp:revision>
  <dcterms:created xsi:type="dcterms:W3CDTF">2009-11-19T19:36:00Z</dcterms:created>
  <dcterms:modified xsi:type="dcterms:W3CDTF">2009-11-19T19:36:00Z</dcterms:modified>
</cp:coreProperties>
</file>